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691E18">
      <w:pPr>
        <w:pStyle w:val="Heading1"/>
        <w:rPr>
          <w:color w:val="0070C0"/>
        </w:rPr>
      </w:pPr>
      <w:r>
        <w:rPr>
          <w:color w:val="0070C0"/>
        </w:rPr>
        <w:t>JANUARY</w:t>
      </w:r>
      <w:r w:rsidR="000909AD" w:rsidRPr="009067CE">
        <w:rPr>
          <w:color w:val="0070C0"/>
        </w:rPr>
        <w:t xml:space="preserve"> </w:t>
      </w:r>
      <w:r>
        <w:rPr>
          <w:color w:val="0070C0"/>
        </w:rPr>
        <w:t>10</w:t>
      </w:r>
      <w:r w:rsidR="00651425" w:rsidRPr="009067CE">
        <w:rPr>
          <w:color w:val="0070C0"/>
        </w:rPr>
        <w:t xml:space="preserve">, </w:t>
      </w:r>
      <w:r>
        <w:rPr>
          <w:color w:val="0070C0"/>
        </w:rPr>
        <w:t>2012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0877DA" w:rsidRDefault="000877DA" w:rsidP="000877DA">
      <w:pPr>
        <w:rPr>
          <w:snapToGrid w:val="0"/>
          <w:sz w:val="24"/>
          <w:szCs w:val="24"/>
        </w:rPr>
      </w:pPr>
    </w:p>
    <w:p w:rsidR="00344559" w:rsidRDefault="00344559" w:rsidP="00FC47B5">
      <w:pPr>
        <w:rPr>
          <w:sz w:val="24"/>
          <w:szCs w:val="24"/>
        </w:rPr>
      </w:pPr>
      <w:r>
        <w:rPr>
          <w:sz w:val="24"/>
        </w:rPr>
        <w:t xml:space="preserve">011012-APT-01:  </w:t>
      </w:r>
      <w:proofErr w:type="spellStart"/>
      <w:r>
        <w:rPr>
          <w:color w:val="FF0000"/>
          <w:sz w:val="24"/>
          <w:szCs w:val="24"/>
        </w:rPr>
        <w:t>Neustar</w:t>
      </w:r>
      <w:proofErr w:type="spellEnd"/>
      <w:r>
        <w:rPr>
          <w:sz w:val="24"/>
          <w:szCs w:val="24"/>
        </w:rPr>
        <w:t xml:space="preserve"> will send a message out over the Cross</w:t>
      </w:r>
      <w:r w:rsidRPr="00344559">
        <w:rPr>
          <w:sz w:val="24"/>
          <w:szCs w:val="24"/>
        </w:rPr>
        <w:t>-Regional</w:t>
      </w:r>
      <w:r>
        <w:rPr>
          <w:sz w:val="24"/>
          <w:szCs w:val="24"/>
        </w:rPr>
        <w:t xml:space="preserve"> distribution</w:t>
      </w:r>
    </w:p>
    <w:p w:rsidR="00344559" w:rsidRDefault="00344559" w:rsidP="0034455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list</w:t>
      </w:r>
      <w:proofErr w:type="gramEnd"/>
      <w:r w:rsidRPr="00344559">
        <w:rPr>
          <w:sz w:val="24"/>
          <w:szCs w:val="24"/>
        </w:rPr>
        <w:t xml:space="preserve"> indicating </w:t>
      </w:r>
      <w:r>
        <w:rPr>
          <w:sz w:val="24"/>
          <w:szCs w:val="24"/>
        </w:rPr>
        <w:t xml:space="preserve">that </w:t>
      </w:r>
      <w:r w:rsidRPr="00344559">
        <w:rPr>
          <w:sz w:val="24"/>
          <w:szCs w:val="24"/>
        </w:rPr>
        <w:t xml:space="preserve">support of non-EDR will sunset </w:t>
      </w:r>
      <w:r>
        <w:rPr>
          <w:sz w:val="24"/>
          <w:szCs w:val="24"/>
        </w:rPr>
        <w:t xml:space="preserve">at the </w:t>
      </w:r>
      <w:r w:rsidRPr="00344559">
        <w:rPr>
          <w:sz w:val="24"/>
          <w:szCs w:val="24"/>
        </w:rPr>
        <w:t>end of 2Q2012</w:t>
      </w:r>
      <w:r>
        <w:rPr>
          <w:sz w:val="24"/>
          <w:szCs w:val="24"/>
        </w:rPr>
        <w:t xml:space="preserve">.  In that notification, </w:t>
      </w:r>
      <w:proofErr w:type="spellStart"/>
      <w:r>
        <w:rPr>
          <w:sz w:val="24"/>
          <w:szCs w:val="24"/>
        </w:rPr>
        <w:t>Neustar</w:t>
      </w:r>
      <w:proofErr w:type="spellEnd"/>
      <w:r>
        <w:rPr>
          <w:sz w:val="24"/>
          <w:szCs w:val="24"/>
        </w:rPr>
        <w:t xml:space="preserve"> will</w:t>
      </w:r>
      <w:r w:rsidRPr="00344559">
        <w:rPr>
          <w:sz w:val="24"/>
          <w:szCs w:val="24"/>
        </w:rPr>
        <w:t xml:space="preserve"> d</w:t>
      </w:r>
      <w:r>
        <w:rPr>
          <w:sz w:val="24"/>
          <w:szCs w:val="24"/>
        </w:rPr>
        <w:t>escribe the implications, e.g</w:t>
      </w:r>
      <w:r w:rsidRPr="00344559">
        <w:rPr>
          <w:sz w:val="24"/>
          <w:szCs w:val="24"/>
        </w:rPr>
        <w:t>.</w:t>
      </w:r>
      <w:r>
        <w:rPr>
          <w:sz w:val="24"/>
          <w:szCs w:val="24"/>
        </w:rPr>
        <w:t>, no pooled SVs in BDDs, and ask if any entities are currently requesting BDDs with pooled SVs.</w:t>
      </w:r>
      <w:r w:rsidRPr="00344559">
        <w:rPr>
          <w:sz w:val="24"/>
          <w:szCs w:val="24"/>
        </w:rPr>
        <w:t xml:space="preserve">  </w:t>
      </w:r>
    </w:p>
    <w:p w:rsidR="00EC2BC4" w:rsidRDefault="00EC2BC4" w:rsidP="00EC2BC4">
      <w:pPr>
        <w:rPr>
          <w:sz w:val="24"/>
          <w:szCs w:val="24"/>
        </w:rPr>
      </w:pPr>
    </w:p>
    <w:p w:rsidR="00EC2BC4" w:rsidRDefault="00EC2BC4" w:rsidP="00EC2BC4">
      <w:pPr>
        <w:rPr>
          <w:sz w:val="24"/>
          <w:szCs w:val="24"/>
        </w:rPr>
      </w:pPr>
      <w:r>
        <w:rPr>
          <w:sz w:val="24"/>
          <w:szCs w:val="24"/>
        </w:rPr>
        <w:t xml:space="preserve">011012-APT-02:  </w:t>
      </w:r>
      <w:proofErr w:type="spellStart"/>
      <w:r>
        <w:rPr>
          <w:color w:val="FF0000"/>
          <w:sz w:val="24"/>
          <w:szCs w:val="24"/>
        </w:rPr>
        <w:t>Neustar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expand the text in NANC 372 – Alternative Interface – </w:t>
      </w:r>
    </w:p>
    <w:p w:rsidR="00EC2BC4" w:rsidRPr="00EC2BC4" w:rsidRDefault="00EC2BC4" w:rsidP="00EC2BC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based</w:t>
      </w:r>
      <w:proofErr w:type="gramEnd"/>
      <w:r>
        <w:rPr>
          <w:sz w:val="24"/>
          <w:szCs w:val="24"/>
        </w:rPr>
        <w:t xml:space="preserve"> on current working assumptions agreed to at the January 2012 LNPA WG meeting for review and discussion at the March 2012 LNPA WG meeting.</w:t>
      </w:r>
    </w:p>
    <w:p w:rsidR="00E45280" w:rsidRPr="008331B5" w:rsidRDefault="00E45280" w:rsidP="00E45280">
      <w:pPr>
        <w:rPr>
          <w:sz w:val="24"/>
          <w:szCs w:val="24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sz w:val="24"/>
        </w:rPr>
      </w:pPr>
      <w:r>
        <w:rPr>
          <w:sz w:val="24"/>
        </w:rPr>
        <w:t xml:space="preserve">051011-16: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 Provider</w:t>
      </w:r>
    </w:p>
    <w:p w:rsidR="00C76CF0" w:rsidRPr="007A7A6D" w:rsidRDefault="00C76CF0" w:rsidP="00C76CF0">
      <w:pPr>
        <w:ind w:left="720"/>
        <w:rPr>
          <w:sz w:val="24"/>
        </w:rPr>
      </w:pP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Default="00B76887" w:rsidP="009067CE">
      <w:pPr>
        <w:ind w:left="720"/>
        <w:rPr>
          <w:sz w:val="24"/>
        </w:rPr>
      </w:pPr>
      <w:r>
        <w:rPr>
          <w:color w:val="FF0000"/>
          <w:sz w:val="24"/>
        </w:rPr>
        <w:t>January 10, 2012</w:t>
      </w:r>
      <w:r w:rsidR="009067CE">
        <w:rPr>
          <w:color w:val="FF0000"/>
          <w:sz w:val="24"/>
        </w:rPr>
        <w:t xml:space="preserve"> meeting update: </w:t>
      </w:r>
      <w:r w:rsidR="009067CE">
        <w:rPr>
          <w:sz w:val="24"/>
        </w:rPr>
        <w:t xml:space="preserve"> Item remains Open</w:t>
      </w:r>
      <w:r w:rsidR="00E45280"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 xml:space="preserve"> and sub-team lead), Jim Rooks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>), Pat White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Lisa Marie Maxson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John Malyar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Kayla Sharbaugh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Suzanne Addington (Sprint Nextel), Karen Fahrenbruch (</w:t>
      </w:r>
      <w:proofErr w:type="spellStart"/>
      <w:r w:rsidR="009067CE">
        <w:rPr>
          <w:sz w:val="24"/>
        </w:rPr>
        <w:t>CenturyLink</w:t>
      </w:r>
      <w:proofErr w:type="spellEnd"/>
      <w:r w:rsidR="009067CE">
        <w:rPr>
          <w:sz w:val="24"/>
        </w:rPr>
        <w:t>), Renee Dillon (AT&amp;T Mobility), Linda Peterman (</w:t>
      </w:r>
      <w:proofErr w:type="spellStart"/>
      <w:r w:rsidR="009067CE">
        <w:rPr>
          <w:sz w:val="24"/>
        </w:rPr>
        <w:t>Earthlink</w:t>
      </w:r>
      <w:proofErr w:type="spellEnd"/>
      <w:r w:rsidR="009067CE">
        <w:rPr>
          <w:sz w:val="24"/>
        </w:rPr>
        <w:t>), Jim Seigler (DSET), and Gary Sacra (Verizon).</w:t>
      </w:r>
      <w:r w:rsidR="00E45280">
        <w:rPr>
          <w:sz w:val="24"/>
        </w:rPr>
        <w:t xml:space="preserve">  Separate conference calls are being held to review and revise the test plans.</w:t>
      </w:r>
    </w:p>
    <w:p w:rsidR="009E0E6B" w:rsidRDefault="009E0E6B" w:rsidP="009E0E6B">
      <w:pPr>
        <w:rPr>
          <w:color w:val="FF0000"/>
          <w:sz w:val="24"/>
        </w:rPr>
      </w:pPr>
    </w:p>
    <w:p w:rsidR="00B76887" w:rsidRPr="0042515B" w:rsidRDefault="00B76887" w:rsidP="00B76887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B76887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B76887" w:rsidRDefault="00B76887" w:rsidP="009E0E6B">
      <w:pPr>
        <w:rPr>
          <w:color w:val="FF0000"/>
          <w:sz w:val="24"/>
        </w:rPr>
      </w:pPr>
    </w:p>
    <w:p w:rsidR="009E0E6B" w:rsidRDefault="009E0E6B" w:rsidP="009E0E6B">
      <w:pPr>
        <w:rPr>
          <w:sz w:val="24"/>
        </w:rPr>
      </w:pPr>
      <w:r>
        <w:rPr>
          <w:sz w:val="24"/>
        </w:rPr>
        <w:t>091311-APT-02:  As a part of the effort to review and update the Vendor ITP and Service</w:t>
      </w:r>
    </w:p>
    <w:p w:rsidR="009E0E6B" w:rsidRPr="00E45280" w:rsidRDefault="009E0E6B" w:rsidP="009E0E6B">
      <w:pPr>
        <w:ind w:left="720"/>
        <w:rPr>
          <w:sz w:val="24"/>
        </w:rPr>
      </w:pPr>
      <w:r>
        <w:rPr>
          <w:sz w:val="24"/>
        </w:rPr>
        <w:t xml:space="preserve">Provider Turn-up Test Plans, the </w:t>
      </w:r>
      <w:r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 xml:space="preserve">will identify to the full LNPA WG any functionality that is recommended for consideration to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>.</w:t>
      </w:r>
    </w:p>
    <w:p w:rsidR="009E0E6B" w:rsidRDefault="009E0E6B" w:rsidP="009E0E6B">
      <w:pPr>
        <w:rPr>
          <w:sz w:val="24"/>
        </w:rPr>
      </w:pPr>
    </w:p>
    <w:p w:rsidR="009E0E6B" w:rsidRDefault="00B76887" w:rsidP="009E0E6B">
      <w:pPr>
        <w:ind w:firstLine="720"/>
        <w:rPr>
          <w:sz w:val="24"/>
        </w:rPr>
      </w:pPr>
      <w:r>
        <w:rPr>
          <w:color w:val="FF0000"/>
          <w:sz w:val="24"/>
        </w:rPr>
        <w:t>January 10, 2012</w:t>
      </w:r>
      <w:r w:rsidR="009E0E6B">
        <w:rPr>
          <w:color w:val="FF0000"/>
          <w:sz w:val="24"/>
        </w:rPr>
        <w:t xml:space="preserve"> meeting update: </w:t>
      </w:r>
      <w:r w:rsidR="009E0E6B">
        <w:rPr>
          <w:sz w:val="24"/>
        </w:rPr>
        <w:t xml:space="preserve"> Item remains Open.</w:t>
      </w:r>
    </w:p>
    <w:p w:rsidR="00691E18" w:rsidRDefault="00691E18" w:rsidP="00691E18">
      <w:pPr>
        <w:rPr>
          <w:sz w:val="24"/>
        </w:rPr>
      </w:pPr>
    </w:p>
    <w:p w:rsidR="00691E18" w:rsidRDefault="00691E18" w:rsidP="00691E18">
      <w:pPr>
        <w:rPr>
          <w:sz w:val="24"/>
          <w:szCs w:val="24"/>
        </w:rPr>
      </w:pPr>
      <w:r>
        <w:rPr>
          <w:sz w:val="24"/>
          <w:szCs w:val="24"/>
        </w:rPr>
        <w:t xml:space="preserve">110911-APT-03:  </w:t>
      </w:r>
      <w:r>
        <w:rPr>
          <w:color w:val="FF0000"/>
          <w:sz w:val="24"/>
          <w:szCs w:val="24"/>
        </w:rPr>
        <w:t>Service Providers</w:t>
      </w:r>
      <w:r>
        <w:rPr>
          <w:sz w:val="24"/>
          <w:szCs w:val="24"/>
        </w:rPr>
        <w:t xml:space="preserve"> are to come to the January 2012 LNPA WG APT</w:t>
      </w:r>
    </w:p>
    <w:p w:rsidR="00691E18" w:rsidRPr="00DB34E4" w:rsidRDefault="00691E18" w:rsidP="00691E1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prepared to discuss NANC 372 – Alternative Interface – and provide any available internal feedback on the attached key questions provided by </w:t>
      </w:r>
      <w:proofErr w:type="spellStart"/>
      <w:r>
        <w:rPr>
          <w:sz w:val="24"/>
          <w:szCs w:val="24"/>
        </w:rPr>
        <w:t>Neustar</w:t>
      </w:r>
      <w:proofErr w:type="spellEnd"/>
      <w:r>
        <w:rPr>
          <w:sz w:val="24"/>
          <w:szCs w:val="24"/>
        </w:rPr>
        <w:t>.  See related Action Item 110911-APT-02</w:t>
      </w:r>
    </w:p>
    <w:p w:rsidR="00691E18" w:rsidRDefault="00691E18" w:rsidP="00691E18">
      <w:pPr>
        <w:rPr>
          <w:sz w:val="24"/>
          <w:szCs w:val="24"/>
        </w:rPr>
      </w:pPr>
    </w:p>
    <w:p w:rsidR="00691E18" w:rsidRDefault="00691E18" w:rsidP="00691E18">
      <w:pPr>
        <w:rPr>
          <w:snapToGrid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FA5">
        <w:rPr>
          <w:snapToGrid w:val="0"/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388308994" r:id="rId8">
            <o:FieldCodes>\s</o:FieldCodes>
          </o:OLEObject>
        </w:object>
      </w:r>
    </w:p>
    <w:p w:rsidR="00B76887" w:rsidRDefault="00B76887" w:rsidP="00691E18">
      <w:pPr>
        <w:rPr>
          <w:snapToGrid w:val="0"/>
          <w:sz w:val="24"/>
          <w:szCs w:val="24"/>
        </w:rPr>
      </w:pPr>
    </w:p>
    <w:p w:rsidR="00B76887" w:rsidRDefault="00B76887" w:rsidP="00B76887">
      <w:pPr>
        <w:ind w:firstLine="720"/>
        <w:rPr>
          <w:sz w:val="24"/>
        </w:rPr>
      </w:pPr>
      <w:r>
        <w:rPr>
          <w:color w:val="FF0000"/>
          <w:sz w:val="24"/>
        </w:rPr>
        <w:t xml:space="preserve">January 10, 2012 meeting update: </w:t>
      </w:r>
      <w:r>
        <w:rPr>
          <w:sz w:val="24"/>
        </w:rPr>
        <w:t xml:space="preserve"> Item remains Open.</w:t>
      </w:r>
    </w:p>
    <w:p w:rsidR="00691E18" w:rsidRPr="009067CE" w:rsidRDefault="00691E18" w:rsidP="00691E18">
      <w:pPr>
        <w:rPr>
          <w:sz w:val="24"/>
        </w:rPr>
      </w:pPr>
    </w:p>
    <w:sectPr w:rsidR="00691E18" w:rsidRPr="009067CE" w:rsidSect="0091012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85" w:rsidRDefault="006F2C85">
      <w:r>
        <w:separator/>
      </w:r>
    </w:p>
  </w:endnote>
  <w:endnote w:type="continuationSeparator" w:id="0">
    <w:p w:rsidR="006F2C85" w:rsidRDefault="006F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0F0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0F0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B52">
      <w:rPr>
        <w:rStyle w:val="PageNumber"/>
        <w:noProof/>
      </w:rPr>
      <w:t>2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85" w:rsidRDefault="006F2C85">
      <w:r>
        <w:separator/>
      </w:r>
    </w:p>
  </w:footnote>
  <w:footnote w:type="continuationSeparator" w:id="0">
    <w:p w:rsidR="006F2C85" w:rsidRDefault="006F2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495702"/>
    <w:multiLevelType w:val="hybridMultilevel"/>
    <w:tmpl w:val="3AA4F632"/>
    <w:lvl w:ilvl="0" w:tplc="1F74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2181C"/>
    <w:multiLevelType w:val="hybridMultilevel"/>
    <w:tmpl w:val="0E122F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9BA3B25"/>
    <w:multiLevelType w:val="hybridMultilevel"/>
    <w:tmpl w:val="F75C3A88"/>
    <w:lvl w:ilvl="0" w:tplc="97AC3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B3BF4"/>
    <w:multiLevelType w:val="hybridMultilevel"/>
    <w:tmpl w:val="76A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8F815AF"/>
    <w:multiLevelType w:val="hybridMultilevel"/>
    <w:tmpl w:val="06C89B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F3E1D"/>
    <w:multiLevelType w:val="hybridMultilevel"/>
    <w:tmpl w:val="E878C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3"/>
  </w:num>
  <w:num w:numId="2">
    <w:abstractNumId w:val="37"/>
  </w:num>
  <w:num w:numId="3">
    <w:abstractNumId w:val="28"/>
  </w:num>
  <w:num w:numId="4">
    <w:abstractNumId w:val="22"/>
  </w:num>
  <w:num w:numId="5">
    <w:abstractNumId w:val="34"/>
  </w:num>
  <w:num w:numId="6">
    <w:abstractNumId w:val="3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30"/>
  </w:num>
  <w:num w:numId="12">
    <w:abstractNumId w:val="7"/>
  </w:num>
  <w:num w:numId="13">
    <w:abstractNumId w:val="5"/>
  </w:num>
  <w:num w:numId="14">
    <w:abstractNumId w:val="17"/>
  </w:num>
  <w:num w:numId="15">
    <w:abstractNumId w:val="31"/>
  </w:num>
  <w:num w:numId="16">
    <w:abstractNumId w:val="24"/>
  </w:num>
  <w:num w:numId="17">
    <w:abstractNumId w:val="40"/>
  </w:num>
  <w:num w:numId="18">
    <w:abstractNumId w:val="6"/>
  </w:num>
  <w:num w:numId="19">
    <w:abstractNumId w:val="11"/>
  </w:num>
  <w:num w:numId="20">
    <w:abstractNumId w:val="16"/>
  </w:num>
  <w:num w:numId="21">
    <w:abstractNumId w:val="26"/>
  </w:num>
  <w:num w:numId="22">
    <w:abstractNumId w:val="21"/>
  </w:num>
  <w:num w:numId="23">
    <w:abstractNumId w:val="36"/>
  </w:num>
  <w:num w:numId="24">
    <w:abstractNumId w:val="44"/>
  </w:num>
  <w:num w:numId="25">
    <w:abstractNumId w:val="42"/>
  </w:num>
  <w:num w:numId="26">
    <w:abstractNumId w:val="10"/>
  </w:num>
  <w:num w:numId="27">
    <w:abstractNumId w:val="33"/>
  </w:num>
  <w:num w:numId="28">
    <w:abstractNumId w:val="1"/>
  </w:num>
  <w:num w:numId="29">
    <w:abstractNumId w:val="18"/>
  </w:num>
  <w:num w:numId="30">
    <w:abstractNumId w:val="12"/>
  </w:num>
  <w:num w:numId="31">
    <w:abstractNumId w:val="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9"/>
  </w:num>
  <w:num w:numId="39">
    <w:abstractNumId w:val="4"/>
  </w:num>
  <w:num w:numId="40">
    <w:abstractNumId w:val="41"/>
  </w:num>
  <w:num w:numId="41">
    <w:abstractNumId w:val="15"/>
  </w:num>
  <w:num w:numId="42">
    <w:abstractNumId w:val="0"/>
  </w:num>
  <w:num w:numId="43">
    <w:abstractNumId w:val="2"/>
  </w:num>
  <w:num w:numId="44">
    <w:abstractNumId w:val="38"/>
  </w:num>
  <w:num w:numId="45">
    <w:abstractNumId w:val="2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282E"/>
    <w:rsid w:val="000C42C1"/>
    <w:rsid w:val="000C6EED"/>
    <w:rsid w:val="000D5398"/>
    <w:rsid w:val="000D60FE"/>
    <w:rsid w:val="000E00D9"/>
    <w:rsid w:val="000F054D"/>
    <w:rsid w:val="000F0FA5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4559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5C7A"/>
    <w:rsid w:val="00606923"/>
    <w:rsid w:val="00610B6C"/>
    <w:rsid w:val="00612DE0"/>
    <w:rsid w:val="006149CC"/>
    <w:rsid w:val="00614F39"/>
    <w:rsid w:val="006171B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91E18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E35C4"/>
    <w:rsid w:val="006F2C85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887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600D3"/>
    <w:rsid w:val="00C63A8F"/>
    <w:rsid w:val="00C6675B"/>
    <w:rsid w:val="00C71012"/>
    <w:rsid w:val="00C712B3"/>
    <w:rsid w:val="00C7424B"/>
    <w:rsid w:val="00C751DC"/>
    <w:rsid w:val="00C76CF0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3EA6"/>
    <w:rsid w:val="00E24E1D"/>
    <w:rsid w:val="00E25934"/>
    <w:rsid w:val="00E266A2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A1F40"/>
    <w:rsid w:val="00EA28B4"/>
    <w:rsid w:val="00EA35C5"/>
    <w:rsid w:val="00EA5721"/>
    <w:rsid w:val="00EB2161"/>
    <w:rsid w:val="00EB3217"/>
    <w:rsid w:val="00EB61DD"/>
    <w:rsid w:val="00EC101F"/>
    <w:rsid w:val="00EC2BC4"/>
    <w:rsid w:val="00ED11A6"/>
    <w:rsid w:val="00ED4CE6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5B52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9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6</cp:revision>
  <cp:lastPrinted>2004-08-25T15:18:00Z</cp:lastPrinted>
  <dcterms:created xsi:type="dcterms:W3CDTF">2012-01-17T16:57:00Z</dcterms:created>
  <dcterms:modified xsi:type="dcterms:W3CDTF">2012-01-17T17:36:00Z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